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984" w:rsidRDefault="00E95984" w:rsidP="00E95984">
      <w:pPr>
        <w:spacing w:after="0"/>
        <w:jc w:val="center"/>
        <w:rPr>
          <w:b/>
          <w:bCs/>
          <w:color w:val="1F3864" w:themeColor="accent1" w:themeShade="80"/>
        </w:rPr>
      </w:pPr>
      <w:r w:rsidRPr="00C61E68">
        <w:rPr>
          <w:noProof/>
          <w:sz w:val="28"/>
          <w:szCs w:val="28"/>
          <w:lang w:eastAsia="ru-RU"/>
        </w:rPr>
        <w:drawing>
          <wp:inline distT="0" distB="0" distL="0" distR="0" wp14:anchorId="36870427" wp14:editId="74B71692">
            <wp:extent cx="371475" cy="337705"/>
            <wp:effectExtent l="0" t="0" r="0" b="571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40" cy="36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84" w:rsidRPr="00E769D2" w:rsidRDefault="00E95984" w:rsidP="00E95984">
      <w:pPr>
        <w:spacing w:after="0"/>
        <w:jc w:val="center"/>
        <w:rPr>
          <w:color w:val="1F3864" w:themeColor="accent1" w:themeShade="80"/>
        </w:rPr>
      </w:pPr>
      <w:r w:rsidRPr="00E769D2">
        <w:rPr>
          <w:b/>
          <w:bCs/>
          <w:color w:val="1F3864" w:themeColor="accent1" w:themeShade="80"/>
        </w:rPr>
        <w:t>ДОРОЖНАЯ КАРТА</w:t>
      </w:r>
      <w:r>
        <w:rPr>
          <w:b/>
          <w:bCs/>
          <w:color w:val="1F3864" w:themeColor="accent1" w:themeShade="80"/>
        </w:rPr>
        <w:t xml:space="preserve"> (макет)</w:t>
      </w:r>
    </w:p>
    <w:p w:rsidR="00E95984" w:rsidRPr="00E769D2" w:rsidRDefault="00E95984" w:rsidP="00E95984">
      <w:pPr>
        <w:spacing w:after="0"/>
        <w:jc w:val="center"/>
        <w:rPr>
          <w:b/>
          <w:bCs/>
          <w:color w:val="1F3864" w:themeColor="accent1" w:themeShade="80"/>
        </w:rPr>
      </w:pPr>
      <w:r w:rsidRPr="00E769D2">
        <w:rPr>
          <w:b/>
          <w:bCs/>
          <w:color w:val="1F3864" w:themeColor="accent1" w:themeShade="80"/>
        </w:rPr>
        <w:t xml:space="preserve">реализации Модели наставничества </w:t>
      </w:r>
    </w:p>
    <w:p w:rsidR="00E95984" w:rsidRPr="00E769D2" w:rsidRDefault="00E95984" w:rsidP="00E95984">
      <w:pPr>
        <w:spacing w:after="0"/>
        <w:jc w:val="center"/>
        <w:rPr>
          <w:b/>
          <w:bCs/>
          <w:color w:val="1F3864" w:themeColor="accent1" w:themeShade="80"/>
        </w:rPr>
      </w:pPr>
      <w:r w:rsidRPr="00E769D2">
        <w:rPr>
          <w:b/>
          <w:bCs/>
          <w:color w:val="1F3864" w:themeColor="accent1" w:themeShade="80"/>
        </w:rPr>
        <w:t xml:space="preserve">в </w:t>
      </w:r>
      <w:r>
        <w:rPr>
          <w:b/>
          <w:bCs/>
          <w:color w:val="1F3864" w:themeColor="accent1" w:themeShade="80"/>
        </w:rPr>
        <w:t>МКОУ «</w:t>
      </w:r>
      <w:proofErr w:type="spellStart"/>
      <w:r>
        <w:rPr>
          <w:b/>
          <w:bCs/>
          <w:color w:val="1F3864" w:themeColor="accent1" w:themeShade="80"/>
        </w:rPr>
        <w:t>Цугнинская</w:t>
      </w:r>
      <w:proofErr w:type="spellEnd"/>
      <w:r>
        <w:rPr>
          <w:b/>
          <w:bCs/>
          <w:color w:val="1F3864" w:themeColor="accent1" w:themeShade="80"/>
        </w:rPr>
        <w:t xml:space="preserve"> СОШ им. </w:t>
      </w:r>
      <w:proofErr w:type="spellStart"/>
      <w:r>
        <w:rPr>
          <w:b/>
          <w:bCs/>
          <w:color w:val="1F3864" w:themeColor="accent1" w:themeShade="80"/>
        </w:rPr>
        <w:t>Гаджимурадова</w:t>
      </w:r>
      <w:proofErr w:type="spellEnd"/>
      <w:r>
        <w:rPr>
          <w:b/>
          <w:bCs/>
          <w:color w:val="1F3864" w:themeColor="accent1" w:themeShade="80"/>
        </w:rPr>
        <w:t xml:space="preserve"> М.М.»</w:t>
      </w:r>
    </w:p>
    <w:p w:rsidR="00E95984" w:rsidRPr="00E769D2" w:rsidRDefault="00E95984" w:rsidP="00E95984">
      <w:pPr>
        <w:spacing w:after="0"/>
        <w:jc w:val="center"/>
        <w:rPr>
          <w:color w:val="1F3864" w:themeColor="accent1" w:themeShade="80"/>
        </w:rPr>
      </w:pPr>
    </w:p>
    <w:tbl>
      <w:tblPr>
        <w:tblW w:w="10354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"/>
        <w:gridCol w:w="111"/>
        <w:gridCol w:w="3609"/>
        <w:gridCol w:w="68"/>
        <w:gridCol w:w="1428"/>
        <w:gridCol w:w="57"/>
        <w:gridCol w:w="1790"/>
        <w:gridCol w:w="37"/>
        <w:gridCol w:w="2631"/>
      </w:tblGrid>
      <w:tr w:rsidR="00E95984" w:rsidRPr="00E769D2" w:rsidTr="00E95984">
        <w:trPr>
          <w:trHeight w:val="589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jc w:val="center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  <w:lang w:val="en-US"/>
              </w:rPr>
              <w:t>N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jc w:val="center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Содержание деятельности/разделы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jc w:val="center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Сроки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jc w:val="center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Исполнители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jc w:val="center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Ожидаемые результаты</w:t>
            </w:r>
          </w:p>
        </w:tc>
      </w:tr>
      <w:tr w:rsidR="00E95984" w:rsidRPr="00E769D2" w:rsidTr="00E95984">
        <w:trPr>
          <w:trHeight w:val="412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97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Подготовка условий для запуска Модели наставничества</w:t>
            </w:r>
          </w:p>
        </w:tc>
      </w:tr>
      <w:tr w:rsidR="00E95984" w:rsidRPr="00E769D2" w:rsidTr="00E95984">
        <w:trPr>
          <w:trHeight w:val="2380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1.1.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Выявление первоначального уровня профессионализма педагогов школы: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анализ документов;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анкетирование;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собеседование;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наблюдение в процессе педагогической деятельности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Заместители директора школы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E959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Диагностические основания для построения форматов наставничества и определения его содержания.</w:t>
            </w:r>
          </w:p>
          <w:p w:rsidR="00E95984" w:rsidRPr="00E769D2" w:rsidRDefault="00E95984" w:rsidP="00E959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Мониторинг по выявлению профессионального уровня педагогов.</w:t>
            </w:r>
          </w:p>
          <w:p w:rsidR="00E95984" w:rsidRPr="00E769D2" w:rsidRDefault="00E95984" w:rsidP="00E959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Разработка программ наставничества и внесение коррективов в ранее разработанные программы наставничества.</w:t>
            </w:r>
          </w:p>
        </w:tc>
      </w:tr>
      <w:tr w:rsidR="00E95984" w:rsidRPr="00E769D2" w:rsidTr="00E95984">
        <w:trPr>
          <w:trHeight w:val="80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1.2.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Назначение ответственного по школе за реализацию Модели наставничества</w:t>
            </w:r>
            <w:r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Директор школы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Приказ по школе</w:t>
            </w:r>
          </w:p>
        </w:tc>
      </w:tr>
      <w:tr w:rsidR="00E95984" w:rsidRPr="00E769D2" w:rsidTr="00E95984">
        <w:trPr>
          <w:trHeight w:val="4009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1.3.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Определение форматов наставничества: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Опытный педагог – молодой специалист (освоение основ мастерства).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Опытный классный руководитель – начинающий классный руководитель.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Педагог-исследователь, новатор – педагог, готовый к освоению новаций.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Опытный руководитель – начинающий руководитель.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 xml:space="preserve">Педагог-лидер – вновь принятый в коллектив педагог. 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Ответственный по школе</w:t>
            </w:r>
          </w:p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Программа, приказ</w:t>
            </w:r>
          </w:p>
        </w:tc>
      </w:tr>
      <w:tr w:rsidR="00E95984" w:rsidRPr="00E769D2" w:rsidTr="00E95984">
        <w:trPr>
          <w:trHeight w:val="525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1.4.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 xml:space="preserve">Разработка рекомендаций по организации наставничества в </w:t>
            </w:r>
            <w:r>
              <w:rPr>
                <w:color w:val="1F3864" w:themeColor="accent1" w:themeShade="80"/>
              </w:rPr>
              <w:t>ОО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Издание сборника рекомендаций</w:t>
            </w:r>
          </w:p>
        </w:tc>
      </w:tr>
      <w:tr w:rsidR="00E95984" w:rsidRPr="00E769D2" w:rsidTr="00E95984">
        <w:trPr>
          <w:trHeight w:val="703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1.5.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Создание интернет-сообщества Наставников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Ответственный по школе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Обеспечение доступности к сетевому пространству</w:t>
            </w:r>
          </w:p>
        </w:tc>
      </w:tr>
      <w:tr w:rsidR="00E95984" w:rsidRPr="00E769D2" w:rsidTr="009B242A">
        <w:trPr>
          <w:trHeight w:val="33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>
              <w:lastRenderedPageBreak/>
              <w:br w:type="page"/>
            </w:r>
            <w:r w:rsidRPr="00E769D2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Формирование Базы наставляемых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2.1.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Формирование Базы наставляемых в школах: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Опытный педагог – молодой специалист (освоение основ мастерства).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Опытный классный руководитель – начинающий классный руководитель.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Педагог-исследователь, новатор – педагог, готовый к освоению новаций.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Опытный руководитель – начинающий руководитель.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Педагог-лидер – вновь принятый в коллектив педагог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Ответственный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 xml:space="preserve">Уточненная база наставляемых по категориям </w:t>
            </w:r>
          </w:p>
        </w:tc>
      </w:tr>
      <w:tr w:rsidR="00E95984" w:rsidRPr="00E769D2" w:rsidTr="009B242A">
        <w:trPr>
          <w:trHeight w:val="455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Формирование Базы Наставников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3.1.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Формирование Базы наставников в общеобразовательных организациях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Команда наставников по направлениям</w:t>
            </w:r>
          </w:p>
        </w:tc>
      </w:tr>
      <w:tr w:rsidR="00E95984" w:rsidRPr="00E769D2" w:rsidTr="009B242A">
        <w:trPr>
          <w:trHeight w:val="436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Отбор и обучение Наставников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4.1.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Организация отбора и обучения наставников: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Установочное совещание по организационным моментам для модераторов;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Семинары-практикумы;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Круглые столы;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Форум наставников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Ответственные по школам,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Увеличение доли педагогов-профессионалов</w:t>
            </w:r>
          </w:p>
        </w:tc>
      </w:tr>
      <w:tr w:rsidR="00E95984" w:rsidRPr="00E769D2" w:rsidTr="009B242A">
        <w:trPr>
          <w:trHeight w:val="491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Создание наставнических пар (групп)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5.1.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/>
              <w:rPr>
                <w:color w:val="002060"/>
              </w:rPr>
            </w:pPr>
            <w:r w:rsidRPr="00E769D2">
              <w:rPr>
                <w:color w:val="002060"/>
              </w:rPr>
              <w:t xml:space="preserve">Формирование наставнических пар (групп) 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Защита программ деятельности наставнических пар (групп);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Отбор лучших программ деятельности наставнических пар (групп)</w:t>
            </w:r>
          </w:p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школам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Посвящение наставнических пар;</w:t>
            </w:r>
          </w:p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лучшего опыта Наставников</w:t>
            </w:r>
          </w:p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</w:tr>
      <w:tr w:rsidR="00E95984" w:rsidRPr="00E769D2" w:rsidTr="009B242A">
        <w:trPr>
          <w:trHeight w:val="446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Разработка нормативной и регламентирующей документации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6.1.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Разработка, согласование и утверждение «Положения о наставничестве»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Директор школы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Внесение в перечень нормативных локальных актов, выставление на сайт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lastRenderedPageBreak/>
              <w:t>6.2.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нормативной и регламентирующей документации 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Создание творческой группы по разработке документации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Экспертиза документации</w:t>
            </w:r>
          </w:p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Издание сборника нормативных документов</w:t>
            </w:r>
          </w:p>
        </w:tc>
      </w:tr>
      <w:tr w:rsidR="00E95984" w:rsidRPr="00E769D2" w:rsidTr="009B242A">
        <w:trPr>
          <w:trHeight w:val="399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Организация работы наставнических пар (групп)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7.1.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Работа наставнических пар (групп)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7.2.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Промежуточный анализ деятельности наставнических пар (групп)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состояния реализации модели наставничества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7.3.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Внесение корректив в программы наставничества (при необходимости)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Корректировка программ, определение эффективных технологий и методик взаимодействия</w:t>
            </w:r>
          </w:p>
        </w:tc>
      </w:tr>
      <w:tr w:rsidR="00E95984" w:rsidRPr="00E769D2" w:rsidTr="009B242A">
        <w:trPr>
          <w:trHeight w:val="379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Мониторинг. Завершение деятельности наставнических пар (групп)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8.1.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Мониторинг. 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Завершение деятельности наставнических пар (групп).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Педагогическая ярмарка идей и проектов по Наставничеству.</w:t>
            </w:r>
          </w:p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эффективности деятельности наставничества, определение опыта и проблем</w:t>
            </w:r>
          </w:p>
        </w:tc>
      </w:tr>
      <w:tr w:rsidR="00E95984" w:rsidRPr="00E769D2" w:rsidTr="009B242A">
        <w:trPr>
          <w:trHeight w:val="48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Разработка механизмов стимулирования наставнической деятельности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9.1.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механизмов стимулирования наставнической деятельности: </w:t>
            </w:r>
          </w:p>
          <w:p w:rsidR="00E95984" w:rsidRPr="00E769D2" w:rsidRDefault="00E95984" w:rsidP="00E95984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ВТК по созданию механизма стимулирования (поощрения, нагр</w:t>
            </w:r>
            <w:bookmarkStart w:id="0" w:name="_GoBack"/>
            <w:bookmarkEnd w:id="0"/>
            <w:r w:rsidRPr="00E769D2">
              <w:rPr>
                <w:color w:val="002060"/>
              </w:rPr>
              <w:t>аждение, надбавка в размере ----% к заработной плате по учреждению; дополнительные баллы при премировании; дополнительные баллы при аттестации на категорию)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 мере реализации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Руководители школ, учредители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Повышение престижа и статуса наставника</w:t>
            </w:r>
          </w:p>
        </w:tc>
      </w:tr>
      <w:tr w:rsidR="00E95984" w:rsidRPr="00E769D2" w:rsidTr="009B242A">
        <w:trPr>
          <w:trHeight w:val="537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9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5984" w:rsidRPr="00E769D2" w:rsidRDefault="00E95984" w:rsidP="009B242A">
            <w:pPr>
              <w:spacing w:after="0" w:line="240" w:lineRule="auto"/>
              <w:rPr>
                <w:b/>
                <w:bCs/>
                <w:color w:val="1F3864" w:themeColor="accent1" w:themeShade="80"/>
              </w:rPr>
            </w:pPr>
            <w:r w:rsidRPr="00E769D2">
              <w:rPr>
                <w:b/>
                <w:bCs/>
                <w:color w:val="1F3864" w:themeColor="accent1" w:themeShade="80"/>
              </w:rPr>
              <w:t>Формирование долгосрочной Базы Наставников</w:t>
            </w:r>
          </w:p>
        </w:tc>
      </w:tr>
      <w:tr w:rsidR="00E95984" w:rsidRPr="00E769D2" w:rsidTr="009B242A">
        <w:trPr>
          <w:trHeight w:val="703"/>
        </w:trPr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1F3864" w:themeColor="accent1" w:themeShade="80"/>
              </w:rPr>
            </w:pPr>
            <w:r w:rsidRPr="00E769D2">
              <w:rPr>
                <w:color w:val="1F3864" w:themeColor="accent1" w:themeShade="80"/>
              </w:rPr>
              <w:t>10.1.</w:t>
            </w:r>
          </w:p>
        </w:tc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Формирование Базы эффективных наставников на последующий период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Сетевое объединение </w:t>
            </w:r>
            <w:r w:rsidRPr="00E769D2">
              <w:rPr>
                <w:color w:val="002060"/>
              </w:rPr>
              <w:lastRenderedPageBreak/>
              <w:t>по наставничеству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5984" w:rsidRPr="00E769D2" w:rsidRDefault="00E95984" w:rsidP="009B242A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lastRenderedPageBreak/>
              <w:t>Центр наставничества</w:t>
            </w:r>
          </w:p>
        </w:tc>
      </w:tr>
    </w:tbl>
    <w:p w:rsidR="00E95984" w:rsidRPr="00E769D2" w:rsidRDefault="00E95984" w:rsidP="00E95984">
      <w:pPr>
        <w:spacing w:after="0"/>
      </w:pPr>
    </w:p>
    <w:p w:rsidR="00124CE6" w:rsidRDefault="00124CE6"/>
    <w:sectPr w:rsidR="001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84"/>
    <w:rsid w:val="00124CE6"/>
    <w:rsid w:val="00E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40D1E-9078-4097-822B-AE69E26F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2023-01-14T08:24:00Z</dcterms:created>
  <dcterms:modified xsi:type="dcterms:W3CDTF">2023-01-14T08:25:00Z</dcterms:modified>
</cp:coreProperties>
</file>