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3A" w:rsidRDefault="0030063A" w:rsidP="0030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063A" w:rsidRDefault="0030063A" w:rsidP="0030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Цугнинская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М.М.» </w:t>
      </w:r>
    </w:p>
    <w:p w:rsidR="0030063A" w:rsidRDefault="0030063A" w:rsidP="0030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063A" w:rsidRDefault="0030063A" w:rsidP="0030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063A" w:rsidRPr="00F13A1E" w:rsidRDefault="0030063A" w:rsidP="00300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8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3936"/>
        <w:gridCol w:w="3904"/>
      </w:tblGrid>
      <w:tr w:rsidR="0030063A" w:rsidRPr="00F13A1E" w:rsidTr="00000709">
        <w:trPr>
          <w:trHeight w:val="1430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РАССМОТРЕНО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Руководитель ШМО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_________________________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________________________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ФИО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Протокол заседания ШМО №__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«______» __________20_____г.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СОГЛАСОВАНО</w:t>
            </w:r>
          </w:p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Заместитель директора по УВР</w:t>
            </w:r>
          </w:p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Р.К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«_____» ___________20____г.                  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УТВЕРЖДАЮ</w:t>
            </w:r>
          </w:p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Цугнинская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СОШ </w:t>
            </w:r>
          </w:p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 Сулейманов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30063A" w:rsidRPr="00F13A1E" w:rsidRDefault="0030063A" w:rsidP="00000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30063A" w:rsidRPr="00F13A1E" w:rsidRDefault="0030063A" w:rsidP="00000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«______» _________20_____ г.</w:t>
            </w:r>
          </w:p>
        </w:tc>
      </w:tr>
    </w:tbl>
    <w:p w:rsidR="0030063A" w:rsidRDefault="0030063A" w:rsidP="0030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063A" w:rsidRDefault="0030063A" w:rsidP="00300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063A" w:rsidRPr="00F13A1E" w:rsidRDefault="0030063A" w:rsidP="00300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</w:p>
    <w:p w:rsidR="0030063A" w:rsidRPr="00F13A1E" w:rsidRDefault="0030063A" w:rsidP="0030063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                                              </w:t>
      </w:r>
      <w:r w:rsidRPr="00F13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английскому языку</w:t>
      </w:r>
    </w:p>
    <w:p w:rsidR="0030063A" w:rsidRPr="00F13A1E" w:rsidRDefault="0030063A" w:rsidP="003006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(название предмета)</w:t>
      </w:r>
    </w:p>
    <w:p w:rsidR="0030063A" w:rsidRPr="00F13A1E" w:rsidRDefault="0030063A" w:rsidP="0030063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30063A" w:rsidRPr="00F13A1E" w:rsidRDefault="0030063A" w:rsidP="003006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r w:rsidRPr="00F13A1E">
        <w:rPr>
          <w:rFonts w:ascii="Times New Roman" w:eastAsia="Times New Roman" w:hAnsi="Times New Roman" w:cs="Times New Roman"/>
          <w:color w:val="000000"/>
          <w:lang w:eastAsia="ru-RU"/>
        </w:rPr>
        <w:t>(класса)</w:t>
      </w:r>
    </w:p>
    <w:p w:rsidR="0030063A" w:rsidRPr="00F13A1E" w:rsidRDefault="0030063A" w:rsidP="003006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2022/2023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учебный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</w:t>
      </w:r>
    </w:p>
    <w:p w:rsidR="0030063A" w:rsidRPr="00F13A1E" w:rsidRDefault="0030063A" w:rsidP="003006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учебному плану: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68   часов в год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</w:t>
      </w:r>
    </w:p>
    <w:p w:rsidR="0030063A" w:rsidRPr="00F13A1E" w:rsidRDefault="0030063A" w:rsidP="003006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часа в неделю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63A" w:rsidRPr="00F13A1E" w:rsidRDefault="0030063A" w:rsidP="0030063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состави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Исакова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Курбанова</w:t>
      </w:r>
    </w:p>
    <w:p w:rsidR="0030063A" w:rsidRDefault="0030063A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0063A" w:rsidRDefault="0030063A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0063A" w:rsidRDefault="0030063A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0063A" w:rsidRDefault="0030063A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0063A" w:rsidRDefault="0030063A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0063A" w:rsidRDefault="0030063A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Пояснительная записка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Данная рабочая программа разработана на основе авторской программы основного (общего) образования по английскому языку О.В Афанасьевой, И.В. Михеевой, с учетом  требований  Федерального государственного образовательного   стандарта общего образования и рабочей программы курса английского языка к УМК «Английский язык» серии «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Rainbow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English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 для 2-4 классов общеобразовательных учреждений. / О. В. Афанасьева, И. В. Михеева, Н. В. Языкова, Е. А. Колесникова. – М.: Дрофа, 2015.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Рабочая программа для 3 класса  рассчитана на 68 часов (2 часа в неделю) в соответствии  с Федеральным  базисным учебным планом для общеобразовательных учреждений. Срок реализации программы – 2017/2018 учебный год.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Рабочая программа ориентирована на использование учебно-методического комплекса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Rainbow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English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(Радужный английский) и включает в себя:</w:t>
      </w:r>
    </w:p>
    <w:p w:rsidR="00B5513D" w:rsidRPr="00B5513D" w:rsidRDefault="00B5513D" w:rsidP="00B5513D">
      <w:pPr>
        <w:numPr>
          <w:ilvl w:val="0"/>
          <w:numId w:val="1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Учебник. Английский язык. 3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кл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В 2 ч. О.В. Афанасьева, И. В. Михеева.- 4-е изд., стереотип. – М.: Дрофа, 2015. – 126с.: ил.</w:t>
      </w:r>
    </w:p>
    <w:p w:rsidR="00B5513D" w:rsidRPr="00B5513D" w:rsidRDefault="00B5513D" w:rsidP="00B5513D">
      <w:pPr>
        <w:numPr>
          <w:ilvl w:val="0"/>
          <w:numId w:val="1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Рабочая программа. Английский язык. 2-4 классы: рабочая программа: учебно-методическое пособие / О.В. Афанасьева, И.В. Михеева, Н.В.Языкова, Е.А.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Колесникова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.-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.: Дрофа, 2015.– 73с.</w:t>
      </w:r>
    </w:p>
    <w:p w:rsidR="00B5513D" w:rsidRPr="00B5513D" w:rsidRDefault="00B5513D" w:rsidP="00B5513D">
      <w:pPr>
        <w:numPr>
          <w:ilvl w:val="0"/>
          <w:numId w:val="1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Лексико-грамматический практикум.</w:t>
      </w:r>
    </w:p>
    <w:p w:rsidR="00B5513D" w:rsidRPr="00B5513D" w:rsidRDefault="00B5513D" w:rsidP="00B5513D">
      <w:pPr>
        <w:numPr>
          <w:ilvl w:val="0"/>
          <w:numId w:val="1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Аудиоприложение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(CD-ROM).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 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Сама специфика предмета «иностранный язык»: его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деятельностный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лингвоэтносу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так и международному сообществу. Школьники учатся общаться в условиях диалога и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полилога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культур, толерантно воспринимать проявления иной культуры.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то же время, обучение английскому языку в начальной школе по предлагаемым учебно-методическим комплексам закладывает основу для последующего формирования универсальных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метапредметных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Цели обучения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английскому языку в УМК “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Rainbow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English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” для общеобразовательных учреждений 3 класса.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Коммуникативная цель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является ведущей на уроках английского языка на основе учебно-методических комплексов серии “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Rainbow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English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Воспитательная цель. 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процессе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соизучения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Образовательная цель.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Развивающая цель.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units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аналогичных проблем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различных англоязычных странах, а также в родной стране учащихся.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на элементарном уровне, соотносятся с различными типами заданий и текстов. В большинстве своем в УМК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Обучение английскому языку в начальной школе строится на основе преимущественного использования активных и интерактивных форм работы.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Основными задачами реализации ее содержания согласно ФГОС начального общего образования являются: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)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Место предмета в учебном плане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Иностранный язык (в том числе английский) входит в общеобразовательную область «Филология». В начальной школе английский язык относится к числу обязательных базовых общеобразовательных учебных предметов, т. е. является инвариантным предметом, обязательным для изучения в начальной школе.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Учебный план для образовательных учреждений Российской Федерации отводит 68 часов для обязательного изучения иностранного языка (по 2 часа в неделю) в 3 классе. Срок реализации данной рабочей программы 2017 – 2018 учебный год.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Контрольных работ 4.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Личностные, </w:t>
      </w:r>
      <w:proofErr w:type="spellStart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метапредметные</w:t>
      </w:r>
      <w:proofErr w:type="spellEnd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и предметные результаты обучения английскому языку в начальной школе.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Работа по учебно-методическим комплексам “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Rainbow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English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” призвана обеспечить достижение следующих личностных,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метапредметных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предметных результатов.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Личностные результаты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английским языком. Они учатся самостоятельно ставить и решать личностно-значимые коммуникативные задачи, используя речевые и неречевые средства, соблюдая речевой этикет.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Метапредметные</w:t>
      </w:r>
      <w:proofErr w:type="spellEnd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результаты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Деятельностный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характер освоения содержания учебно-методических комплексов серии “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Rainbow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English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” способствует достижению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метапредметных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Наибольшее внимание в данных учебно-методических комплексах уделяется развитию коммуникативных универсальных учебных действий: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Предметные результаты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Основными предметными результатами являются: формирование иноязычных коммуникативных умений в говорении, чтении, письме и письменной речи и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аудировании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Далее представим личностные,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метапредметные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предметные результаты в познавательной, ценностно-ориентационной, эстетической и трудовой сферах.</w:t>
      </w:r>
      <w:proofErr w:type="gramEnd"/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 познавательной сфере:</w:t>
      </w:r>
    </w:p>
    <w:p w:rsidR="00B5513D" w:rsidRPr="00B5513D" w:rsidRDefault="00B5513D" w:rsidP="00B5513D">
      <w:pPr>
        <w:numPr>
          <w:ilvl w:val="0"/>
          <w:numId w:val="2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B5513D" w:rsidRPr="00B5513D" w:rsidRDefault="00B5513D" w:rsidP="00B5513D">
      <w:pPr>
        <w:numPr>
          <w:ilvl w:val="0"/>
          <w:numId w:val="2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 ценностно-ориентационной сфере:</w:t>
      </w:r>
    </w:p>
    <w:p w:rsidR="00B5513D" w:rsidRPr="00B5513D" w:rsidRDefault="00B5513D" w:rsidP="00B5513D">
      <w:pPr>
        <w:numPr>
          <w:ilvl w:val="0"/>
          <w:numId w:val="3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представление о языке как средстве выражения чувств, эмоций, суждений, основе культуры мышления;</w:t>
      </w:r>
    </w:p>
    <w:p w:rsidR="00B5513D" w:rsidRPr="00B5513D" w:rsidRDefault="00B5513D" w:rsidP="00B5513D">
      <w:pPr>
        <w:numPr>
          <w:ilvl w:val="0"/>
          <w:numId w:val="3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приобщение к национальным ценностям, ценностям мировой культуры, ценностям других народов.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 эстетической сфере:</w:t>
      </w:r>
    </w:p>
    <w:p w:rsidR="00B5513D" w:rsidRPr="00B5513D" w:rsidRDefault="00B5513D" w:rsidP="00B5513D">
      <w:pPr>
        <w:numPr>
          <w:ilvl w:val="0"/>
          <w:numId w:val="4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овладение элементарными средствами выражения чувств, эмоций и отношений на иностранном языке;</w:t>
      </w:r>
    </w:p>
    <w:p w:rsidR="00B5513D" w:rsidRPr="00B5513D" w:rsidRDefault="00B5513D" w:rsidP="00B5513D">
      <w:pPr>
        <w:numPr>
          <w:ilvl w:val="0"/>
          <w:numId w:val="4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В трудовой сфере:</w:t>
      </w:r>
    </w:p>
    <w:p w:rsidR="00B5513D" w:rsidRPr="00B5513D" w:rsidRDefault="00B5513D" w:rsidP="00B5513D">
      <w:pPr>
        <w:numPr>
          <w:ilvl w:val="0"/>
          <w:numId w:val="5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умение ставить цели и планировать свой учебный труд.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Планируемые результаты изучения учебного предмета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Ожидается, что выпускники 3 класса смогут демонстрировать следующие результаты в освоении иностранного языка.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Речевая компетенция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Говорение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Выпускник научится:</w:t>
      </w:r>
    </w:p>
    <w:p w:rsidR="00B5513D" w:rsidRPr="00B5513D" w:rsidRDefault="00B5513D" w:rsidP="00B5513D">
      <w:pPr>
        <w:numPr>
          <w:ilvl w:val="0"/>
          <w:numId w:val="6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B5513D" w:rsidRPr="00B5513D" w:rsidRDefault="00B5513D" w:rsidP="00B5513D">
      <w:pPr>
        <w:numPr>
          <w:ilvl w:val="0"/>
          <w:numId w:val="6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составлять небольшое описание предмета, картинки, персонажа;</w:t>
      </w:r>
    </w:p>
    <w:p w:rsidR="00B5513D" w:rsidRPr="00B5513D" w:rsidRDefault="00B5513D" w:rsidP="00B5513D">
      <w:pPr>
        <w:numPr>
          <w:ilvl w:val="0"/>
          <w:numId w:val="6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рассказывать о себе, своей семье, друге;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B55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Аудирование</w:t>
      </w:r>
      <w:proofErr w:type="spellEnd"/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Выпускник научится:</w:t>
      </w:r>
    </w:p>
    <w:p w:rsidR="00B5513D" w:rsidRPr="00B5513D" w:rsidRDefault="00B5513D" w:rsidP="00B5513D">
      <w:pPr>
        <w:numPr>
          <w:ilvl w:val="0"/>
          <w:numId w:val="7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невербально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реагировать на 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услышанное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B5513D" w:rsidRPr="00B5513D" w:rsidRDefault="00B5513D" w:rsidP="00B5513D">
      <w:pPr>
        <w:numPr>
          <w:ilvl w:val="0"/>
          <w:numId w:val="7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Чтение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Выпускник научится:</w:t>
      </w:r>
    </w:p>
    <w:p w:rsidR="00B5513D" w:rsidRPr="00B5513D" w:rsidRDefault="00B5513D" w:rsidP="00B5513D">
      <w:pPr>
        <w:numPr>
          <w:ilvl w:val="0"/>
          <w:numId w:val="8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5513D" w:rsidRPr="00B5513D" w:rsidRDefault="00B5513D" w:rsidP="00B5513D">
      <w:pPr>
        <w:numPr>
          <w:ilvl w:val="0"/>
          <w:numId w:val="8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Письмо и письменная речь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Выпускник научится:</w:t>
      </w:r>
    </w:p>
    <w:p w:rsidR="00B5513D" w:rsidRPr="00B5513D" w:rsidRDefault="00B5513D" w:rsidP="00B5513D">
      <w:pPr>
        <w:numPr>
          <w:ilvl w:val="0"/>
          <w:numId w:val="9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выписывать из теста слова, словосочетания и предложения;</w:t>
      </w:r>
    </w:p>
    <w:p w:rsidR="00B5513D" w:rsidRPr="00B5513D" w:rsidRDefault="00B5513D" w:rsidP="00B5513D">
      <w:pPr>
        <w:numPr>
          <w:ilvl w:val="0"/>
          <w:numId w:val="9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письменной форме кратко отвечать на вопросы к тексту;</w:t>
      </w:r>
    </w:p>
    <w:p w:rsidR="00B5513D" w:rsidRPr="00B5513D" w:rsidRDefault="00B5513D" w:rsidP="00B5513D">
      <w:pPr>
        <w:numPr>
          <w:ilvl w:val="0"/>
          <w:numId w:val="9"/>
        </w:num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писать поздравительную открытку (с опорой на образец);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Содержание учебного предмета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Содержание обучения включает следующие компоненты: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сферы общения (темы, ситуации, тексты);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2) навыки и умения коммуникативной компетенции: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— речевая компетенция (умения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аудирования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чтения, говорения, письменной речи на начальном уровне);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—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социокультурная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компетенция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социокультурные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знания и навыки вербального и невербального поведения на начальном уровне);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— учебно-познавательная компетенция (общие и специальные учебные навыки, приемы учебной работы);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— компенсаторная компетенция (знание приемов компенсации и компенсаторные умения).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</w:pPr>
      <w:r w:rsidRPr="00B5513D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Блоки</w:t>
      </w:r>
      <w:r w:rsidRPr="00B5513D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val="en-US" w:eastAsia="ru-RU"/>
        </w:rPr>
        <w:t>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Блок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en-US" w:eastAsia="ru-RU"/>
        </w:rPr>
        <w:t> (Unit 1). What We See and What We Have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Предметы окружающего мира, их характеристики и расположение по отношению 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говорящему. Указательные местоимения единственного числа. Указательные местоимения множественного числа. Притяжательные местоимения единственного числа. Принадлежащие нам предметы. Глагол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to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have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Приветствие как часть речевого этикета.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Блок 2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Unit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2). 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What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We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Like</w:t>
      </w:r>
      <w:proofErr w:type="spellEnd"/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Притяжательные местоимения множественного числа. Прибавление окончания -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s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глаголам в 3-м лице единственного числа настоящего времени. Способности и возможности людей. Модальный глагол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can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его использование в речи. Особенности обозначения времени в англоязычных странах.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Блок 3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Unit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3). 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What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Colour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?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Цветовая палитра мира. Характеристики людей, животных и объектов неживой природы. Отрицательная форма глагола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can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can’t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cannot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), использование её при чтении и в речи.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Блок 4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Unit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4). 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How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many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?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Физические характеристики людей, животных и объектов неживой природы. Выражение количества в английском языке.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Блок 5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Unit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5).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Happy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Birthday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!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Семья и семейные традиции: празднование дня рождения. Использование с именами людей слов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Mister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Missis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Miss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Ms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Названия дней недели. Их правописание. Полное, частичное или выборочное понимание текстов. Отрицательная форма глагола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to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have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ее использование в речи.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Блок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en-US" w:eastAsia="ru-RU"/>
        </w:rPr>
        <w:t> 6 (Unit 6). What’s Your Job?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Занятия и профессиональная деятельность. Физическое состояние человека. Структура вопросительного предложения в настоящем времени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Present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Simple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(общий вопрос). Использование вопросительных предложений в речи.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lastRenderedPageBreak/>
        <w:t>Блок 7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Unit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7).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Animals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Блок 8 (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Unit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 8) Времена года и месяца.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Повторение пройденных тем. Правило чтения английской согласной 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различных позициях. Структура отрицательного предложения во времени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Present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Simple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Мир животных. Своё отношение к различным животным, предметам и явлениям. Особые случаи образования множественного числа отдельных существительных.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Предметное содержание речи учащихся в её устной и письменной разрабатывается в соответствии с учебными, 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познавательным интересам и возможностям, а также требованиям ФГОС начального школьного образования.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Предметное содержание устной и письменной речи учитывает интересы младших школьников, их возрастные особенности и включает в себя следующие темы: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Тематическое планирование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87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9"/>
        <w:gridCol w:w="5779"/>
        <w:gridCol w:w="1567"/>
      </w:tblGrid>
      <w:tr w:rsidR="00B5513D" w:rsidRPr="00B5513D" w:rsidTr="00B5513D">
        <w:trPr>
          <w:trHeight w:val="315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№ </w:t>
            </w:r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раздела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Предметное содержание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часов</w:t>
            </w:r>
          </w:p>
        </w:tc>
      </w:tr>
      <w:tr w:rsidR="00B5513D" w:rsidRPr="00B5513D" w:rsidTr="00B5513D">
        <w:trPr>
          <w:trHeight w:val="60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Что мы видим и что мы имеем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</w:tr>
      <w:tr w:rsidR="00B5513D" w:rsidRPr="00B5513D" w:rsidTr="00B5513D">
        <w:trPr>
          <w:trHeight w:val="60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Что мы любим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</w:tr>
      <w:tr w:rsidR="00B5513D" w:rsidRPr="00B5513D" w:rsidTr="00B5513D">
        <w:trPr>
          <w:trHeight w:val="60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Какого цвета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</w:tr>
      <w:tr w:rsidR="00B5513D" w:rsidRPr="00B5513D" w:rsidTr="00B5513D">
        <w:trPr>
          <w:trHeight w:val="60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Как много?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</w:tr>
      <w:tr w:rsidR="00B5513D" w:rsidRPr="00B5513D" w:rsidTr="00B5513D">
        <w:trPr>
          <w:trHeight w:val="60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 Днём Рождения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</w:tr>
      <w:tr w:rsidR="00B5513D" w:rsidRPr="00B5513D" w:rsidTr="00B5513D">
        <w:trPr>
          <w:trHeight w:val="60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Какая у тебя работа?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</w:tr>
      <w:tr w:rsidR="00B5513D" w:rsidRPr="00B5513D" w:rsidTr="00B5513D">
        <w:trPr>
          <w:trHeight w:val="60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7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Животные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6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</w:tr>
      <w:tr w:rsidR="00B5513D" w:rsidRPr="00B5513D" w:rsidTr="00B5513D">
        <w:trPr>
          <w:trHeight w:val="345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Времена года и месяца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13D" w:rsidRPr="00B5513D" w:rsidRDefault="00B5513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</w:tr>
    </w:tbl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Учебно-методическое обеспечение образовательного процесса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 проведения уроков английского языка в 3 классе в рамках ФГОС создана следующая 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материально-техническая база: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Учебно-методические комплекты (УМК) по английскому языку для 3 класса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Алфавит (настенная таблица)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3. Аудиозаписи к УМК, 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используемым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для изучения иностранного языка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Мультимедийный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проектор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 Компьютер со звуковыми колонками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 проведения уроков английского языка в 3 классе в рамках ФГОС создана следующая </w:t>
      </w: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учебно-методическая база: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Компонеты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УМК: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Афанасьева О. В., Михеева И. В. Английский язык. 3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кл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В 2 ч. Ч.1: учебник. – М.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Дрофа, 2015.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 Афанасьева О. В., Михеева И. В. Английский язык. 3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кл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В 2 ч. Ч.2: учебник. – М.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Дрофа, 2015.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3. Афанасьева О. В., Михеева И. В. Английский язык. 3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кл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.: лексико-грамматический практикум.</w:t>
      </w: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Афанасьева О. В., Михеева И. В. Английский язык. 3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кл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.: </w:t>
      </w:r>
      <w:proofErr w:type="spell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аудиоприложение</w:t>
      </w:r>
      <w:proofErr w:type="spell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MP3 к учебнику и рабочей тетради. – М.</w:t>
      </w:r>
      <w:proofErr w:type="gramStart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B5513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Дрофа, 2012.</w:t>
      </w: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Календарно-тематическое планирование</w:t>
      </w:r>
    </w:p>
    <w:p w:rsidR="00B5513D" w:rsidRPr="00B5513D" w:rsidRDefault="00B5513D" w:rsidP="00B5513D">
      <w:pPr>
        <w:spacing w:after="176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УМК:  О.В. Афанасьева, И.В. Михеева. «Английский язык. </w:t>
      </w:r>
      <w:proofErr w:type="spellStart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Rainbow</w:t>
      </w:r>
      <w:proofErr w:type="spellEnd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English</w:t>
      </w:r>
      <w:proofErr w:type="spellEnd"/>
      <w:r w:rsidRPr="00B5513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». 3 класс</w:t>
      </w:r>
    </w:p>
    <w:tbl>
      <w:tblPr>
        <w:tblW w:w="149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0"/>
        <w:gridCol w:w="3970"/>
        <w:gridCol w:w="4055"/>
        <w:gridCol w:w="1567"/>
        <w:gridCol w:w="2300"/>
        <w:gridCol w:w="2323"/>
      </w:tblGrid>
      <w:tr w:rsidR="00050FFD" w:rsidRPr="00B5513D" w:rsidTr="00050FFD">
        <w:trPr>
          <w:trHeight w:val="66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№</w:t>
            </w:r>
          </w:p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proofErr w:type="gram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</w:t>
            </w:r>
            <w:proofErr w:type="spellEnd"/>
            <w:proofErr w:type="gram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/</w:t>
            </w: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Наименование раздела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Тема урока</w:t>
            </w:r>
          </w:p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часов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050FFD" w:rsidRDefault="00050FFD" w:rsidP="00050FFD">
            <w:pPr>
              <w:spacing w:after="176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по плану</w:t>
            </w: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050FFD" w:rsidRDefault="00050FFD" w:rsidP="00050FFD">
            <w:pPr>
              <w:spacing w:after="176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фактически</w:t>
            </w: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1. Что мы видим и что мы имеем.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Алфавит. Указательные местоимения.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Указательные местоимения «Это», «Та», «Тот».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Английские имена. Притяжательные местоимения. Как тебя зовут. Меня зовут.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Входная диагностическая работа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Лексика. У меня есть.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Домашние животные. Время суток. Работа с текстом.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Мой день. Повторение по разделу 1.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Контроль письменной речи по теме «Что мы видим и что мы имеем»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2. «Что мы любим»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Работа с лексикой. Личные и притяжательные местоимения. Кто ты?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Окончание –</w:t>
            </w:r>
            <w:proofErr w:type="spell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s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 -</w:t>
            </w:r>
            <w:proofErr w:type="spell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es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в 3м лице ед</w:t>
            </w:r>
            <w:proofErr w:type="gram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.ч</w:t>
            </w:r>
            <w:proofErr w:type="gram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исла.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Говорим о времени.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Лексика. Чтение.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Английские имена. Я могу. Мне нравится.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Джек и Стив. Формат диалогической речи. Повторение </w:t>
            </w: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по разделу № 2.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Контрольная работа № 1 по разделу 1,2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Анализ контрольной работы.</w:t>
            </w: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3. «Какой цвет?» (II четверть)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Формы глагола «быть». Цвета.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40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 меня есть. Какого цвета предметы?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Цвета. Я вижу. Рифмовка «Какого цвета»?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Цвета предметов и животных. Вещи для дома.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Лексика «</w:t>
            </w:r>
            <w:proofErr w:type="gram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светлый</w:t>
            </w:r>
            <w:proofErr w:type="gram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 яркий». Диалогическая речь.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Я могу/я не могу. Лексика.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Описание предметов и людей. </w:t>
            </w: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Повторение по разделу № 3.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24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Контроль навыков письменной речи по теме «Формы глагола «быть».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навыков диалогическая речь по теме Цвета предметов и животных.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4. «Как много?»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Как много? Прилагательное «высокий». Введение новой лексики.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Фред и </w:t>
            </w:r>
            <w:proofErr w:type="spell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Тед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 Чтение. Характеристика людей, животных и предметов.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Характеристика людей, животных и предметов. Время. Который час.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Числительные. Сколько?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Числительные. Ты можешь. Телефонный номер.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Контрольная работа № 2 по </w:t>
            </w: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разделу 3,4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32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Анализ контрольной работы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5. С Днём Рождения (III четверть)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День Рождения Робина. Чтение. Определенный артикль.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Лексика. </w:t>
            </w:r>
            <w:proofErr w:type="gram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Песня про день</w:t>
            </w:r>
            <w:proofErr w:type="gram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рождения.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Использование слов мистер/миссис. Лексика. Работа с текстом.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Рой и его игрушки. Я </w:t>
            </w:r>
            <w:proofErr w:type="gram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имею</w:t>
            </w:r>
            <w:proofErr w:type="gram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/ не имею.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Предлоги места. Чтение. Дни недели.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Лексико-грамматический практикум. Обобщение.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навыков устной речи по теме «Распорядок дня».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Контроль навыков устной речи по теме «Распорядок дня».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41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6. «Какая у тебя работа?»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Названия профессий. Лексика. Рифмовка «Он учитель?»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Профессии. Совершенствование фонетических навыков. Какая твоя работа?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Что случилось? Человек и его состояние.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Работа с текстом «Генерал Грин». Что случилось?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навыков чтения по теме «Внешний вид человека».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Продукты. Общие вопросы.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Спорт в нашей жизни.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Контроль навыков чтения по теме «Внешний вид человека».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Развитие навыков </w:t>
            </w:r>
            <w:proofErr w:type="spell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аудирования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Работа с текстом «Джек </w:t>
            </w:r>
            <w:proofErr w:type="spell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Липтон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51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Контрольная работа № 3 по разделу 5,6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Анализ контрольной работы.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7.</w:t>
            </w: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«</w:t>
            </w:r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Животные». IV четверть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Где находятся сказочные персонажи? Лексика.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Настоящее время. Работа с текстом. Фред и </w:t>
            </w:r>
            <w:proofErr w:type="spell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Эд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Что люди обычно </w:t>
            </w:r>
            <w:proofErr w:type="gram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делают</w:t>
            </w:r>
            <w:proofErr w:type="gram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/ не делают. Вежливые слова.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Повелительное наклонение. Введение новой лексики «Животные»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Страны и континенты. Глаголы «жить, любить, ненавидеть». Я </w:t>
            </w:r>
            <w:proofErr w:type="gramStart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люблю</w:t>
            </w:r>
            <w:proofErr w:type="gramEnd"/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/не люблю.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Тренировка звукобуквенных обозначений.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Много. Множественное число. Исключения.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60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Unit</w:t>
            </w:r>
            <w:proofErr w:type="spellEnd"/>
            <w:r w:rsidRPr="00B55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 8 «Времена года и месяца»</w:t>
            </w: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Лексика. Названия времен года. Чтение.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Времена года. Говорение. Названия месяцев.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Его/ ее день рождения. Лексика. Чтение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Названия стран. Работа с текстом.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навыков письма на тему «Погода. Я и мои друзья»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Повторение по разделу 8 «Времена года и месяца».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Промежуточная аттестация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9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Анализ контрольной работы.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0FFD" w:rsidRPr="00B5513D" w:rsidRDefault="00050FFD" w:rsidP="00B5513D">
            <w:pPr>
              <w:spacing w:after="17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5"/>
                <w:lang w:eastAsia="ru-RU"/>
              </w:rPr>
            </w:pPr>
          </w:p>
        </w:tc>
      </w:tr>
      <w:tr w:rsidR="00050FFD" w:rsidRPr="00B5513D" w:rsidTr="00050FFD">
        <w:trPr>
          <w:trHeight w:val="7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75" w:lineRule="atLeast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68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240" w:lineRule="auto"/>
              <w:rPr>
                <w:rFonts w:ascii="Arial" w:eastAsia="Times New Roman" w:hAnsi="Arial" w:cs="Arial"/>
                <w:color w:val="000000"/>
                <w:sz w:val="8"/>
                <w:szCs w:val="25"/>
                <w:lang w:eastAsia="ru-RU"/>
              </w:rPr>
            </w:pPr>
          </w:p>
        </w:tc>
        <w:tc>
          <w:tcPr>
            <w:tcW w:w="4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75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Проектная работа «Мои планы на летние каникулы»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176" w:line="75" w:lineRule="atLeast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B5513D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FFD" w:rsidRPr="00B5513D" w:rsidRDefault="00050FFD" w:rsidP="00B5513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8"/>
                <w:szCs w:val="28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FFD" w:rsidRPr="00B5513D" w:rsidRDefault="00050FFD" w:rsidP="00B5513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8"/>
                <w:szCs w:val="28"/>
                <w:lang w:eastAsia="ru-RU"/>
              </w:rPr>
            </w:pPr>
          </w:p>
        </w:tc>
      </w:tr>
    </w:tbl>
    <w:p w:rsidR="006755F8" w:rsidRDefault="006755F8"/>
    <w:sectPr w:rsidR="006755F8" w:rsidSect="00B551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5564"/>
    <w:multiLevelType w:val="multilevel"/>
    <w:tmpl w:val="5E5A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11A"/>
    <w:multiLevelType w:val="multilevel"/>
    <w:tmpl w:val="810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67739"/>
    <w:multiLevelType w:val="multilevel"/>
    <w:tmpl w:val="152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52A34"/>
    <w:multiLevelType w:val="multilevel"/>
    <w:tmpl w:val="7E7A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03B49"/>
    <w:multiLevelType w:val="multilevel"/>
    <w:tmpl w:val="2E4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650E3"/>
    <w:multiLevelType w:val="multilevel"/>
    <w:tmpl w:val="02F0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30994"/>
    <w:multiLevelType w:val="multilevel"/>
    <w:tmpl w:val="5B02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05201"/>
    <w:multiLevelType w:val="multilevel"/>
    <w:tmpl w:val="4A92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661D3"/>
    <w:multiLevelType w:val="multilevel"/>
    <w:tmpl w:val="564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13D"/>
    <w:rsid w:val="00050FFD"/>
    <w:rsid w:val="0030063A"/>
    <w:rsid w:val="006755F8"/>
    <w:rsid w:val="007065C6"/>
    <w:rsid w:val="00B5513D"/>
    <w:rsid w:val="00ED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3241</Words>
  <Characters>18479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</cp:lastModifiedBy>
  <cp:revision>2</cp:revision>
  <cp:lastPrinted>2021-09-10T11:23:00Z</cp:lastPrinted>
  <dcterms:created xsi:type="dcterms:W3CDTF">2023-03-11T08:44:00Z</dcterms:created>
  <dcterms:modified xsi:type="dcterms:W3CDTF">2023-03-11T08:44:00Z</dcterms:modified>
</cp:coreProperties>
</file>